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0C" w:rsidRPr="00AF480C" w:rsidRDefault="00AF480C" w:rsidP="00AF480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 xml:space="preserve">EXFORGE HCT </w:t>
      </w:r>
      <w:r w:rsidRPr="00AF480C">
        <w:rPr>
          <w:rFonts w:ascii="Times New Roman" w:eastAsia="Times New Roman" w:hAnsi="Times New Roman" w:cs="Times New Roman"/>
          <w:b/>
          <w:bCs/>
          <w:sz w:val="36"/>
          <w:szCs w:val="36"/>
          <w:lang w:eastAsia="fr-FR"/>
        </w:rPr>
        <w:t xml:space="preserve"> ses effets indésirables</w:t>
      </w:r>
    </w:p>
    <w:p w:rsidR="00AF480C" w:rsidRDefault="00AF480C" w:rsidP="00AF480C">
      <w:pPr>
        <w:spacing w:before="100" w:beforeAutospacing="1" w:after="100" w:afterAutospacing="1" w:line="240" w:lineRule="auto"/>
        <w:rPr>
          <w:rFonts w:ascii="Arial" w:eastAsia="Times New Roman" w:hAnsi="Arial" w:cs="Arial"/>
          <w:sz w:val="20"/>
          <w:lang w:eastAsia="fr-FR"/>
        </w:rPr>
      </w:pP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Le profil de sécurité d'emploi d'</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présenté ci-dessous est basé sur les études cliniques conduites avec </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et sur le profil de sécurité connu de chaque composant individuel </w:t>
      </w:r>
      <w:proofErr w:type="spellStart"/>
      <w:r w:rsidRPr="00AF480C">
        <w:rPr>
          <w:rFonts w:ascii="Arial" w:eastAsia="Times New Roman" w:hAnsi="Arial" w:cs="Arial"/>
          <w:sz w:val="20"/>
          <w:lang w:eastAsia="fr-FR"/>
        </w:rPr>
        <w:t>amlodipine</w:t>
      </w:r>
      <w:proofErr w:type="spellEnd"/>
      <w:r w:rsidRPr="00AF480C">
        <w:rPr>
          <w:rFonts w:ascii="Arial" w:eastAsia="Times New Roman" w:hAnsi="Arial" w:cs="Arial"/>
          <w:sz w:val="20"/>
          <w:lang w:eastAsia="fr-FR"/>
        </w:rPr>
        <w:t xml:space="preserve">, </w:t>
      </w:r>
      <w:proofErr w:type="spellStart"/>
      <w:r w:rsidRPr="00AF480C">
        <w:rPr>
          <w:rFonts w:ascii="Arial" w:eastAsia="Times New Roman" w:hAnsi="Arial" w:cs="Arial"/>
          <w:sz w:val="20"/>
          <w:lang w:eastAsia="fr-FR"/>
        </w:rPr>
        <w:t>valsartan</w:t>
      </w:r>
      <w:proofErr w:type="spellEnd"/>
      <w:r w:rsidRPr="00AF480C">
        <w:rPr>
          <w:rFonts w:ascii="Arial" w:eastAsia="Times New Roman" w:hAnsi="Arial" w:cs="Arial"/>
          <w:sz w:val="20"/>
          <w:lang w:eastAsia="fr-FR"/>
        </w:rPr>
        <w:t xml:space="preserve"> et </w:t>
      </w:r>
      <w:proofErr w:type="spellStart"/>
      <w:r w:rsidRPr="00AF480C">
        <w:rPr>
          <w:rFonts w:ascii="Arial" w:eastAsia="Times New Roman" w:hAnsi="Arial" w:cs="Arial"/>
          <w:sz w:val="20"/>
          <w:lang w:eastAsia="fr-FR"/>
        </w:rPr>
        <w:t>hydrochlorothiazide</w:t>
      </w:r>
      <w:proofErr w:type="spellEnd"/>
      <w:r w:rsidRPr="00AF480C">
        <w:rPr>
          <w:rFonts w:ascii="Arial" w:eastAsia="Times New Roman" w:hAnsi="Arial" w:cs="Arial"/>
          <w:sz w:val="20"/>
          <w:lang w:eastAsia="fr-FR"/>
        </w:rPr>
        <w:t>.</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u w:val="single"/>
          <w:lang w:eastAsia="fr-FR"/>
        </w:rPr>
        <w:t xml:space="preserve">Informations concernant </w:t>
      </w:r>
      <w:proofErr w:type="spellStart"/>
      <w:r w:rsidRPr="00AF480C">
        <w:rPr>
          <w:rFonts w:ascii="Arial" w:eastAsia="Times New Roman" w:hAnsi="Arial" w:cs="Arial"/>
          <w:sz w:val="20"/>
          <w:u w:val="single"/>
          <w:lang w:eastAsia="fr-FR"/>
        </w:rPr>
        <w:t>Exforge</w:t>
      </w:r>
      <w:proofErr w:type="spellEnd"/>
      <w:r w:rsidRPr="00AF480C">
        <w:rPr>
          <w:rFonts w:ascii="Arial" w:eastAsia="Times New Roman" w:hAnsi="Arial" w:cs="Arial"/>
          <w:sz w:val="20"/>
          <w:u w:val="single"/>
          <w:lang w:eastAsia="fr-FR"/>
        </w:rPr>
        <w:t xml:space="preserve"> HCT</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La sécurité d'emploi d'</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a été évaluée à la dose maximale de 10 mg/320 mg/25 mg dans une étude clinique contrôlée de courte durée (8 semaines) menée chez 2 271 patients, dont 582 ont reçu le </w:t>
      </w:r>
      <w:proofErr w:type="spellStart"/>
      <w:r w:rsidRPr="00AF480C">
        <w:rPr>
          <w:rFonts w:ascii="Arial" w:eastAsia="Times New Roman" w:hAnsi="Arial" w:cs="Arial"/>
          <w:sz w:val="20"/>
          <w:lang w:eastAsia="fr-FR"/>
        </w:rPr>
        <w:t>valsartan</w:t>
      </w:r>
      <w:proofErr w:type="spellEnd"/>
      <w:r w:rsidRPr="00AF480C">
        <w:rPr>
          <w:rFonts w:ascii="Arial" w:eastAsia="Times New Roman" w:hAnsi="Arial" w:cs="Arial"/>
          <w:sz w:val="20"/>
          <w:lang w:eastAsia="fr-FR"/>
        </w:rPr>
        <w:t xml:space="preserve"> en association avec l'</w:t>
      </w:r>
      <w:proofErr w:type="spellStart"/>
      <w:r w:rsidRPr="00AF480C">
        <w:rPr>
          <w:rFonts w:ascii="Arial" w:eastAsia="Times New Roman" w:hAnsi="Arial" w:cs="Arial"/>
          <w:sz w:val="20"/>
          <w:lang w:eastAsia="fr-FR"/>
        </w:rPr>
        <w:t>amlodipine</w:t>
      </w:r>
      <w:proofErr w:type="spellEnd"/>
      <w:r w:rsidRPr="00AF480C">
        <w:rPr>
          <w:rFonts w:ascii="Arial" w:eastAsia="Times New Roman" w:hAnsi="Arial" w:cs="Arial"/>
          <w:sz w:val="20"/>
          <w:lang w:eastAsia="fr-FR"/>
        </w:rPr>
        <w:t xml:space="preserve"> et l'</w:t>
      </w:r>
      <w:proofErr w:type="spellStart"/>
      <w:r w:rsidRPr="00AF480C">
        <w:rPr>
          <w:rFonts w:ascii="Arial" w:eastAsia="Times New Roman" w:hAnsi="Arial" w:cs="Arial"/>
          <w:sz w:val="20"/>
          <w:lang w:eastAsia="fr-FR"/>
        </w:rPr>
        <w:t>hydrochlorothiazide</w:t>
      </w:r>
      <w:proofErr w:type="spellEnd"/>
      <w:r w:rsidRPr="00AF480C">
        <w:rPr>
          <w:rFonts w:ascii="Arial" w:eastAsia="Times New Roman" w:hAnsi="Arial" w:cs="Arial"/>
          <w:sz w:val="20"/>
          <w:lang w:eastAsia="fr-FR"/>
        </w:rPr>
        <w:t xml:space="preserve">. Les réactions indésirables ont été généralement d'intensité légère et de nature transitoire et elles n'ont nécessité que peu fréquemment un arrêt du traitement. Dans cette étude clinique contrôlée contre comparateur actif, les raisons les plus fréquentes d'arrêt du traitement par </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ont été des sensations vertigineuses et une hypotension (0,7 %).</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Dans l'étude clinique contrôlée de 8 semaines, aucune réaction indésirable significative nouvelle ou inattendue n'a été observée avec la trithérapie par rapport aux effets connus de la monothérapie ou des composants de la bithérapie.</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Dans l'étude clinique contrôlée de 8 semaines, les modifications des constantes biologiques observées avec l'association d'</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ont été mineures et conformes au mécanisme d'action pharmacologique de chaque agent administré en monothérapie. La présence de </w:t>
      </w:r>
      <w:proofErr w:type="spellStart"/>
      <w:r w:rsidRPr="00AF480C">
        <w:rPr>
          <w:rFonts w:ascii="Arial" w:eastAsia="Times New Roman" w:hAnsi="Arial" w:cs="Arial"/>
          <w:sz w:val="20"/>
          <w:lang w:eastAsia="fr-FR"/>
        </w:rPr>
        <w:t>valsartan</w:t>
      </w:r>
      <w:proofErr w:type="spellEnd"/>
      <w:r w:rsidRPr="00AF480C">
        <w:rPr>
          <w:rFonts w:ascii="Arial" w:eastAsia="Times New Roman" w:hAnsi="Arial" w:cs="Arial"/>
          <w:sz w:val="20"/>
          <w:lang w:eastAsia="fr-FR"/>
        </w:rPr>
        <w:t xml:space="preserve"> dans la triple association a atténué l'effet </w:t>
      </w:r>
      <w:proofErr w:type="spellStart"/>
      <w:r w:rsidRPr="00AF480C">
        <w:rPr>
          <w:rFonts w:ascii="Arial" w:eastAsia="Times New Roman" w:hAnsi="Arial" w:cs="Arial"/>
          <w:sz w:val="20"/>
          <w:lang w:eastAsia="fr-FR"/>
        </w:rPr>
        <w:t>hypokaliémant</w:t>
      </w:r>
      <w:proofErr w:type="spellEnd"/>
      <w:r w:rsidRPr="00AF480C">
        <w:rPr>
          <w:rFonts w:ascii="Arial" w:eastAsia="Times New Roman" w:hAnsi="Arial" w:cs="Arial"/>
          <w:sz w:val="20"/>
          <w:lang w:eastAsia="fr-FR"/>
        </w:rPr>
        <w:t xml:space="preserve"> de l'</w:t>
      </w:r>
      <w:proofErr w:type="spellStart"/>
      <w:r w:rsidRPr="00AF480C">
        <w:rPr>
          <w:rFonts w:ascii="Arial" w:eastAsia="Times New Roman" w:hAnsi="Arial" w:cs="Arial"/>
          <w:sz w:val="20"/>
          <w:lang w:eastAsia="fr-FR"/>
        </w:rPr>
        <w:t>hydrochlorothiazide</w:t>
      </w:r>
      <w:proofErr w:type="spellEnd"/>
      <w:r w:rsidRPr="00AF480C">
        <w:rPr>
          <w:rFonts w:ascii="Arial" w:eastAsia="Times New Roman" w:hAnsi="Arial" w:cs="Arial"/>
          <w:sz w:val="20"/>
          <w:lang w:eastAsia="fr-FR"/>
        </w:rPr>
        <w:t>.</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 xml:space="preserve">Les réactions indésirables suivantes, présentées par classe de systèmes d'organes </w:t>
      </w:r>
      <w:proofErr w:type="spellStart"/>
      <w:r w:rsidRPr="00AF480C">
        <w:rPr>
          <w:rFonts w:ascii="Arial" w:eastAsia="Times New Roman" w:hAnsi="Arial" w:cs="Arial"/>
          <w:sz w:val="20"/>
          <w:lang w:eastAsia="fr-FR"/>
        </w:rPr>
        <w:t>MedDRA</w:t>
      </w:r>
      <w:proofErr w:type="spellEnd"/>
      <w:r w:rsidRPr="00AF480C">
        <w:rPr>
          <w:rFonts w:ascii="Arial" w:eastAsia="Times New Roman" w:hAnsi="Arial" w:cs="Arial"/>
          <w:sz w:val="20"/>
          <w:lang w:eastAsia="fr-FR"/>
        </w:rPr>
        <w:t xml:space="preserve"> et fréquence, concernent </w:t>
      </w: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 (</w:t>
      </w:r>
      <w:proofErr w:type="spellStart"/>
      <w:r w:rsidRPr="00AF480C">
        <w:rPr>
          <w:rFonts w:ascii="Arial" w:eastAsia="Times New Roman" w:hAnsi="Arial" w:cs="Arial"/>
          <w:sz w:val="20"/>
          <w:lang w:eastAsia="fr-FR"/>
        </w:rPr>
        <w:t>amlodipine</w:t>
      </w:r>
      <w:proofErr w:type="spellEnd"/>
      <w:r w:rsidRPr="00AF480C">
        <w:rPr>
          <w:rFonts w:ascii="Arial" w:eastAsia="Times New Roman" w:hAnsi="Arial" w:cs="Arial"/>
          <w:sz w:val="20"/>
          <w:lang w:eastAsia="fr-FR"/>
        </w:rPr>
        <w:t>/</w:t>
      </w:r>
      <w:proofErr w:type="spellStart"/>
      <w:r w:rsidRPr="00AF480C">
        <w:rPr>
          <w:rFonts w:ascii="Arial" w:eastAsia="Times New Roman" w:hAnsi="Arial" w:cs="Arial"/>
          <w:sz w:val="20"/>
          <w:lang w:eastAsia="fr-FR"/>
        </w:rPr>
        <w:t>valsartan</w:t>
      </w:r>
      <w:proofErr w:type="spellEnd"/>
      <w:r w:rsidRPr="00AF480C">
        <w:rPr>
          <w:rFonts w:ascii="Arial" w:eastAsia="Times New Roman" w:hAnsi="Arial" w:cs="Arial"/>
          <w:sz w:val="20"/>
          <w:lang w:eastAsia="fr-FR"/>
        </w:rPr>
        <w:t>/HCTZ) ainsi que l'</w:t>
      </w:r>
      <w:proofErr w:type="spellStart"/>
      <w:r w:rsidRPr="00AF480C">
        <w:rPr>
          <w:rFonts w:ascii="Arial" w:eastAsia="Times New Roman" w:hAnsi="Arial" w:cs="Arial"/>
          <w:sz w:val="20"/>
          <w:lang w:eastAsia="fr-FR"/>
        </w:rPr>
        <w:t>amlodipine</w:t>
      </w:r>
      <w:proofErr w:type="spellEnd"/>
      <w:r w:rsidRPr="00AF480C">
        <w:rPr>
          <w:rFonts w:ascii="Arial" w:eastAsia="Times New Roman" w:hAnsi="Arial" w:cs="Arial"/>
          <w:sz w:val="20"/>
          <w:lang w:eastAsia="fr-FR"/>
        </w:rPr>
        <w:t xml:space="preserve">, le </w:t>
      </w:r>
      <w:proofErr w:type="spellStart"/>
      <w:r w:rsidRPr="00AF480C">
        <w:rPr>
          <w:rFonts w:ascii="Arial" w:eastAsia="Times New Roman" w:hAnsi="Arial" w:cs="Arial"/>
          <w:sz w:val="20"/>
          <w:lang w:eastAsia="fr-FR"/>
        </w:rPr>
        <w:t>valsartan</w:t>
      </w:r>
      <w:proofErr w:type="spellEnd"/>
      <w:r w:rsidRPr="00AF480C">
        <w:rPr>
          <w:rFonts w:ascii="Arial" w:eastAsia="Times New Roman" w:hAnsi="Arial" w:cs="Arial"/>
          <w:sz w:val="20"/>
          <w:lang w:eastAsia="fr-FR"/>
        </w:rPr>
        <w:t xml:space="preserve"> et l'</w:t>
      </w:r>
      <w:proofErr w:type="spellStart"/>
      <w:r w:rsidRPr="00AF480C">
        <w:rPr>
          <w:rFonts w:ascii="Arial" w:eastAsia="Times New Roman" w:hAnsi="Arial" w:cs="Arial"/>
          <w:sz w:val="20"/>
          <w:lang w:eastAsia="fr-FR"/>
        </w:rPr>
        <w:t>hydrochlorothiazide</w:t>
      </w:r>
      <w:proofErr w:type="spellEnd"/>
      <w:r w:rsidRPr="00AF480C">
        <w:rPr>
          <w:rFonts w:ascii="Arial" w:eastAsia="Times New Roman" w:hAnsi="Arial" w:cs="Arial"/>
          <w:sz w:val="20"/>
          <w:lang w:eastAsia="fr-FR"/>
        </w:rPr>
        <w:t xml:space="preserve"> individuellement.</w:t>
      </w:r>
    </w:p>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fréquent : ≥ 1/10 ; fréquent : ≥ 1/100 à &lt; 1/10 ; peu fréquent : ≥ 1/1 000 à &lt; 1/100 ; rare : ≥ 1/10 000 à &lt; 1/1 000 ; très rare : &lt; 1/10 000, fréquence indéterminée (ne peut être estimée sur la base des données disponibles).</w:t>
      </w:r>
    </w:p>
    <w:tbl>
      <w:tblPr>
        <w:tblW w:w="9866" w:type="dxa"/>
        <w:tblInd w:w="40" w:type="dxa"/>
        <w:tblCellMar>
          <w:left w:w="0" w:type="dxa"/>
          <w:right w:w="0" w:type="dxa"/>
        </w:tblCellMar>
        <w:tblLook w:val="04A0"/>
      </w:tblPr>
      <w:tblGrid>
        <w:gridCol w:w="1766"/>
        <w:gridCol w:w="20"/>
        <w:gridCol w:w="2467"/>
        <w:gridCol w:w="1403"/>
        <w:gridCol w:w="1518"/>
        <w:gridCol w:w="1375"/>
        <w:gridCol w:w="1317"/>
      </w:tblGrid>
      <w:tr w:rsidR="00AF480C" w:rsidRPr="00AF480C" w:rsidTr="00AF480C">
        <w:trPr>
          <w:trHeight w:val="235"/>
        </w:trPr>
        <w:tc>
          <w:tcPr>
            <w:tcW w:w="1766"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 xml:space="preserve">Classes de systèmes d'organes </w:t>
            </w:r>
            <w:proofErr w:type="spellStart"/>
            <w:r w:rsidRPr="00AF480C">
              <w:rPr>
                <w:rFonts w:ascii="Arial" w:eastAsia="Times New Roman" w:hAnsi="Arial" w:cs="Arial"/>
                <w:sz w:val="20"/>
                <w:lang w:eastAsia="fr-FR"/>
              </w:rPr>
              <w:t>MedDRA</w:t>
            </w:r>
            <w:proofErr w:type="spellEnd"/>
          </w:p>
        </w:tc>
        <w:tc>
          <w:tcPr>
            <w:tcW w:w="2487" w:type="dxa"/>
            <w:gridSpan w:val="2"/>
            <w:vMerge w:val="restar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Effets indésirables</w:t>
            </w:r>
          </w:p>
        </w:tc>
        <w:tc>
          <w:tcPr>
            <w:tcW w:w="5613"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w:t>
            </w:r>
          </w:p>
        </w:tc>
      </w:tr>
      <w:tr w:rsidR="00AF480C" w:rsidRPr="00AF480C" w:rsidTr="00AF480C">
        <w:trPr>
          <w:trHeight w:val="768"/>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single" w:sz="8" w:space="0" w:color="auto"/>
              <w:left w:val="nil"/>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Exforge</w:t>
            </w:r>
            <w:proofErr w:type="spellEnd"/>
            <w:r w:rsidRPr="00AF480C">
              <w:rPr>
                <w:rFonts w:ascii="Arial" w:eastAsia="Times New Roman" w:hAnsi="Arial" w:cs="Arial"/>
                <w:sz w:val="20"/>
                <w:lang w:eastAsia="fr-FR"/>
              </w:rPr>
              <w:t xml:space="preserve"> HCT</w:t>
            </w:r>
          </w:p>
        </w:tc>
        <w:tc>
          <w:tcPr>
            <w:tcW w:w="15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Amlodipine</w:t>
            </w:r>
            <w:proofErr w:type="spellEnd"/>
          </w:p>
        </w:tc>
        <w:tc>
          <w:tcPr>
            <w:tcW w:w="137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Valsartan</w:t>
            </w:r>
            <w:proofErr w:type="spellEnd"/>
          </w:p>
        </w:tc>
        <w:tc>
          <w:tcPr>
            <w:tcW w:w="131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HCTZ</w:t>
            </w:r>
          </w:p>
        </w:tc>
      </w:tr>
      <w:tr w:rsidR="00AF480C" w:rsidRPr="00AF480C" w:rsidTr="00AF480C">
        <w:trPr>
          <w:trHeight w:val="528"/>
        </w:trPr>
        <w:tc>
          <w:tcPr>
            <w:tcW w:w="176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hématologiques et du système lymphatique</w:t>
            </w: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Agranulocytose, aplasie médullaire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r>
      <w:tr w:rsidR="00AF480C" w:rsidRPr="00AF480C" w:rsidTr="00AF480C">
        <w:trPr>
          <w:trHeight w:val="763"/>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Diminution de l'hémoglobine et de l'hématocrite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 indéterminée</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Anémie hémolytique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r>
      <w:tr w:rsidR="00AF480C" w:rsidRPr="00AF480C" w:rsidTr="00AF480C">
        <w:trPr>
          <w:trHeight w:val="259"/>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Leucopénie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r>
      <w:tr w:rsidR="00AF480C" w:rsidRPr="00AF480C" w:rsidTr="00AF480C">
        <w:trPr>
          <w:trHeight w:val="528"/>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Neutropénie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 indéterminée</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509"/>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Thrombopénie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 indéterminée</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763"/>
        </w:trPr>
        <w:tc>
          <w:tcPr>
            <w:tcW w:w="176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du système immunitaire</w:t>
            </w: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Hypersensibilité</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 indéterminée</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r>
      <w:tr w:rsidR="00AF480C" w:rsidRPr="00AF480C" w:rsidTr="00AF480C">
        <w:trPr>
          <w:trHeight w:val="274"/>
        </w:trPr>
        <w:tc>
          <w:tcPr>
            <w:tcW w:w="176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 xml:space="preserve">Troubles du </w:t>
            </w:r>
            <w:r w:rsidRPr="00AF480C">
              <w:rPr>
                <w:rFonts w:ascii="Arial" w:eastAsia="Times New Roman" w:hAnsi="Arial" w:cs="Arial"/>
                <w:sz w:val="20"/>
                <w:lang w:eastAsia="fr-FR"/>
              </w:rPr>
              <w:lastRenderedPageBreak/>
              <w:t>métabolisme et de la nutrition</w:t>
            </w: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lastRenderedPageBreak/>
              <w:t>Anoréxie</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Hypercalcémie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vertAlign w:val="subscript"/>
                <w:lang w:eastAsia="fr-FR"/>
              </w:rPr>
              <w: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vertAlign w:val="subscript"/>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25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Hyperglycémie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259"/>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Hyperlipidémie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Hyperuricémie</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r>
      <w:tr w:rsidR="00AF480C" w:rsidRPr="00AF480C" w:rsidTr="00AF480C">
        <w:trPr>
          <w:trHeight w:val="25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 xml:space="preserve">Alcalose </w:t>
            </w:r>
            <w:proofErr w:type="spellStart"/>
            <w:r w:rsidRPr="00AF480C">
              <w:rPr>
                <w:rFonts w:ascii="Arial" w:eastAsia="Times New Roman" w:hAnsi="Arial" w:cs="Arial"/>
                <w:sz w:val="20"/>
                <w:lang w:eastAsia="fr-FR"/>
              </w:rPr>
              <w:t>hypochlorémique</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Hypokaliémie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r>
      <w:tr w:rsidR="00AF480C" w:rsidRPr="00AF480C" w:rsidTr="00AF480C">
        <w:trPr>
          <w:trHeight w:val="25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Hypomagnésémie</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Hyponatrémie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r>
      <w:tr w:rsidR="00AF480C" w:rsidRPr="00AF480C" w:rsidTr="00AF480C">
        <w:trPr>
          <w:trHeight w:val="254"/>
        </w:trPr>
        <w:tc>
          <w:tcPr>
            <w:tcW w:w="176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psychiatriques</w:t>
            </w: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Depression</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528"/>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Insomnie/troubles du sommeil</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274"/>
        </w:trPr>
        <w:tc>
          <w:tcPr>
            <w:tcW w:w="0" w:type="auto"/>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87"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Troubles de l'humeur</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1786"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du système nerveux</w:t>
            </w: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Troubles de la coordination</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vertAlign w:val="subscript"/>
                <w:lang w:eastAsia="fr-FR"/>
              </w:rPr>
              <w: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vertAlign w:val="subscript"/>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vertAlign w:val="subscript"/>
                <w:lang w:eastAsia="fr-FR"/>
              </w:rPr>
              <w:t>--</w:t>
            </w:r>
          </w:p>
        </w:tc>
      </w:tr>
      <w:tr w:rsidR="00AF480C" w:rsidRPr="00AF480C" w:rsidTr="00AF480C">
        <w:trPr>
          <w:trHeight w:val="269"/>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Sensations vertigineuses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773"/>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Sensations vertigineuses orthostatiques, sensations vertigineuses à l'effort</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AF480C">
              <w:rPr>
                <w:rFonts w:ascii="Arial" w:eastAsia="Times New Roman" w:hAnsi="Arial" w:cs="Arial"/>
                <w:sz w:val="20"/>
                <w:lang w:eastAsia="fr-FR"/>
              </w:rPr>
              <w:t>Dysgeusie</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518"/>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 xml:space="preserve">Syndrome </w:t>
            </w:r>
            <w:proofErr w:type="spellStart"/>
            <w:r w:rsidRPr="00AF480C">
              <w:rPr>
                <w:rFonts w:ascii="Arial" w:eastAsia="Times New Roman" w:hAnsi="Arial" w:cs="Arial"/>
                <w:sz w:val="20"/>
                <w:lang w:eastAsia="fr-FR"/>
              </w:rPr>
              <w:t>extra-pyramidal</w:t>
            </w:r>
            <w:proofErr w:type="spellEnd"/>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Fréquence indéterminée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Maux de tête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Hypertonie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Léthargie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Paresthésies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Rare</w:t>
            </w:r>
          </w:p>
        </w:tc>
      </w:tr>
      <w:tr w:rsidR="00AF480C" w:rsidRPr="00AF480C" w:rsidTr="00AF480C">
        <w:trPr>
          <w:trHeight w:val="518"/>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Neuropathie périphérique, neuropathie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Très rare</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Somnolence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Syncope</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264"/>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Tremblements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518"/>
        </w:trPr>
        <w:tc>
          <w:tcPr>
            <w:tcW w:w="1786" w:type="dxa"/>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oculaires</w:t>
            </w: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Troubles visuels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r>
      <w:tr w:rsidR="00AF480C" w:rsidRPr="00AF480C" w:rsidTr="00AF480C">
        <w:trPr>
          <w:trHeight w:val="264"/>
        </w:trPr>
        <w:tc>
          <w:tcPr>
            <w:tcW w:w="1786" w:type="dxa"/>
            <w:gridSpan w:val="2"/>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Affections de l'oreille et du labyrinthe</w:t>
            </w: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Acouphènes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518"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Peu fréquent</w:t>
            </w:r>
          </w:p>
        </w:tc>
        <w:tc>
          <w:tcPr>
            <w:tcW w:w="1375"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c>
          <w:tcPr>
            <w:tcW w:w="131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w:t>
            </w:r>
          </w:p>
        </w:tc>
      </w:tr>
      <w:tr w:rsidR="00AF480C" w:rsidRPr="00AF480C" w:rsidTr="00AF480C">
        <w:trPr>
          <w:trHeight w:val="509"/>
        </w:trPr>
        <w:tc>
          <w:tcPr>
            <w:tcW w:w="0" w:type="auto"/>
            <w:gridSpan w:val="2"/>
            <w:vMerge/>
            <w:tcBorders>
              <w:top w:val="nil"/>
              <w:left w:val="single" w:sz="8" w:space="0" w:color="auto"/>
              <w:bottom w:val="single" w:sz="8" w:space="0" w:color="auto"/>
              <w:right w:val="single" w:sz="8" w:space="0" w:color="auto"/>
            </w:tcBorders>
            <w:vAlign w:val="cente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2467"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before="100" w:beforeAutospacing="1" w:after="100" w:afterAutospacing="1" w:line="240" w:lineRule="auto"/>
              <w:rPr>
                <w:rFonts w:ascii="Times New Roman" w:eastAsia="Times New Roman" w:hAnsi="Times New Roman" w:cs="Times New Roman"/>
                <w:sz w:val="24"/>
                <w:szCs w:val="24"/>
                <w:lang w:eastAsia="fr-FR"/>
              </w:rPr>
            </w:pPr>
            <w:r w:rsidRPr="00AF480C">
              <w:rPr>
                <w:rFonts w:ascii="Arial" w:eastAsia="Times New Roman" w:hAnsi="Arial" w:cs="Arial"/>
                <w:sz w:val="20"/>
                <w:lang w:eastAsia="fr-FR"/>
              </w:rPr>
              <w:t>Vertiges</w:t>
            </w:r>
          </w:p>
        </w:tc>
        <w:tc>
          <w:tcPr>
            <w:tcW w:w="1403" w:type="dxa"/>
            <w:tcBorders>
              <w:top w:val="nil"/>
              <w:left w:val="nil"/>
              <w:bottom w:val="single" w:sz="8" w:space="0" w:color="auto"/>
              <w:right w:val="single" w:sz="8" w:space="0" w:color="auto"/>
            </w:tcBorders>
            <w:tcMar>
              <w:top w:w="0" w:type="dxa"/>
              <w:left w:w="40" w:type="dxa"/>
              <w:bottom w:w="0" w:type="dxa"/>
              <w:right w:w="40" w:type="dxa"/>
            </w:tcMar>
            <w:hideMark/>
          </w:tcPr>
          <w:p w:rsidR="00AF480C" w:rsidRPr="00AF480C" w:rsidRDefault="00AF480C" w:rsidP="00AF480C">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AF480C" w:rsidRPr="00AF480C" w:rsidRDefault="00AF480C" w:rsidP="00AF480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AF480C" w:rsidRPr="00AF480C" w:rsidRDefault="00AF480C" w:rsidP="00AF480C">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AF480C" w:rsidRPr="00AF480C" w:rsidRDefault="00AF480C" w:rsidP="00AF480C">
            <w:pPr>
              <w:spacing w:after="0" w:line="240" w:lineRule="auto"/>
              <w:rPr>
                <w:rFonts w:ascii="Times New Roman" w:eastAsia="Times New Roman" w:hAnsi="Times New Roman" w:cs="Times New Roman"/>
                <w:sz w:val="20"/>
                <w:szCs w:val="20"/>
                <w:lang w:eastAsia="fr-FR"/>
              </w:rPr>
            </w:pP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F480C"/>
    <w:rsid w:val="0006330F"/>
    <w:rsid w:val="0009769E"/>
    <w:rsid w:val="000C4178"/>
    <w:rsid w:val="00120A2B"/>
    <w:rsid w:val="001A53D5"/>
    <w:rsid w:val="00276205"/>
    <w:rsid w:val="00282113"/>
    <w:rsid w:val="003164DC"/>
    <w:rsid w:val="004276C2"/>
    <w:rsid w:val="004771A7"/>
    <w:rsid w:val="00587FAE"/>
    <w:rsid w:val="0062264F"/>
    <w:rsid w:val="00673C6F"/>
    <w:rsid w:val="006A4DC8"/>
    <w:rsid w:val="0078077B"/>
    <w:rsid w:val="007A24F8"/>
    <w:rsid w:val="007E4829"/>
    <w:rsid w:val="00816CD7"/>
    <w:rsid w:val="008F30B2"/>
    <w:rsid w:val="00911C5C"/>
    <w:rsid w:val="009D77C6"/>
    <w:rsid w:val="00A93A8E"/>
    <w:rsid w:val="00AF480C"/>
    <w:rsid w:val="00B53AA5"/>
    <w:rsid w:val="00BB2DA5"/>
    <w:rsid w:val="00C22AEF"/>
    <w:rsid w:val="00C75EA1"/>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8"/>
  </w:style>
  <w:style w:type="paragraph" w:styleId="Titre2">
    <w:name w:val="heading 2"/>
    <w:basedOn w:val="Normal"/>
    <w:link w:val="Titre2Car"/>
    <w:uiPriority w:val="9"/>
    <w:qFormat/>
    <w:rsid w:val="00AF48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19">
    <w:name w:val="fontstyle19"/>
    <w:basedOn w:val="Policepardfaut"/>
    <w:rsid w:val="00AF480C"/>
  </w:style>
  <w:style w:type="paragraph" w:customStyle="1" w:styleId="style13">
    <w:name w:val="style13"/>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20">
    <w:name w:val="fontstyle20"/>
    <w:basedOn w:val="Policepardfaut"/>
    <w:rsid w:val="00AF480C"/>
  </w:style>
  <w:style w:type="paragraph" w:customStyle="1" w:styleId="style10">
    <w:name w:val="style10"/>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4">
    <w:name w:val="style14"/>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5">
    <w:name w:val="style15"/>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11">
    <w:name w:val="style11"/>
    <w:basedOn w:val="Normal"/>
    <w:rsid w:val="00AF4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F480C"/>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108160595">
      <w:bodyDiv w:val="1"/>
      <w:marLeft w:val="0"/>
      <w:marRight w:val="0"/>
      <w:marTop w:val="0"/>
      <w:marBottom w:val="0"/>
      <w:divBdr>
        <w:top w:val="none" w:sz="0" w:space="0" w:color="auto"/>
        <w:left w:val="none" w:sz="0" w:space="0" w:color="auto"/>
        <w:bottom w:val="none" w:sz="0" w:space="0" w:color="auto"/>
        <w:right w:val="none" w:sz="0" w:space="0" w:color="auto"/>
      </w:divBdr>
    </w:div>
    <w:div w:id="14322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3324</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2014-05-28T10:38:00Z</dcterms:created>
  <dcterms:modified xsi:type="dcterms:W3CDTF">2014-05-28T10:39:00Z</dcterms:modified>
</cp:coreProperties>
</file>